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C9" w:rsidRPr="00992C80" w:rsidRDefault="00992C80" w:rsidP="00992C80">
      <w:pPr>
        <w:widowControl/>
        <w:spacing w:line="420" w:lineRule="exact"/>
        <w:jc w:val="left"/>
        <w:textAlignment w:val="center"/>
        <w:rPr>
          <w:rFonts w:eastAsia="仿宋_GB2312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 w:rsidRPr="00992C80">
        <w:rPr>
          <w:rFonts w:eastAsia="仿宋_GB2312" w:hint="eastAsia"/>
          <w:color w:val="000000"/>
          <w:kern w:val="0"/>
          <w:sz w:val="32"/>
          <w:szCs w:val="32"/>
          <w:lang w:bidi="ar"/>
        </w:rPr>
        <w:t>附件</w:t>
      </w:r>
      <w:r w:rsidRPr="00992C80">
        <w:rPr>
          <w:rFonts w:eastAsia="仿宋_GB2312" w:hint="eastAsia"/>
          <w:color w:val="000000"/>
          <w:kern w:val="0"/>
          <w:sz w:val="32"/>
          <w:szCs w:val="32"/>
          <w:lang w:bidi="ar"/>
        </w:rPr>
        <w:t>2</w:t>
      </w:r>
    </w:p>
    <w:p w:rsidR="004E7EC9" w:rsidRPr="00992C80" w:rsidRDefault="00992C80" w:rsidP="00992C80">
      <w:pPr>
        <w:spacing w:line="620" w:lineRule="exact"/>
        <w:jc w:val="center"/>
        <w:rPr>
          <w:rFonts w:ascii="方正小标宋_GBK" w:eastAsia="方正小标宋_GBK" w:hAnsi="方正小标宋简体" w:cs="方正小标宋简体"/>
          <w:kern w:val="0"/>
          <w:sz w:val="36"/>
          <w:szCs w:val="36"/>
        </w:rPr>
      </w:pPr>
      <w:r w:rsidRPr="00992C80">
        <w:rPr>
          <w:rFonts w:ascii="方正小标宋_GBK" w:eastAsia="方正小标宋_GBK" w:hAnsi="方正小标宋简体" w:cs="方正小标宋简体" w:hint="eastAsia"/>
          <w:kern w:val="0"/>
          <w:sz w:val="36"/>
          <w:szCs w:val="36"/>
        </w:rPr>
        <w:t>202</w:t>
      </w:r>
      <w:r w:rsidRPr="00992C80">
        <w:rPr>
          <w:rFonts w:ascii="方正小标宋_GBK" w:eastAsia="方正小标宋_GBK" w:hAnsi="方正小标宋简体" w:cs="方正小标宋简体" w:hint="eastAsia"/>
          <w:kern w:val="0"/>
          <w:sz w:val="36"/>
          <w:szCs w:val="36"/>
        </w:rPr>
        <w:t>3</w:t>
      </w:r>
      <w:r w:rsidRPr="00992C80">
        <w:rPr>
          <w:rFonts w:ascii="方正小标宋_GBK" w:eastAsia="方正小标宋_GBK" w:hAnsi="方正小标宋简体" w:cs="方正小标宋简体" w:hint="eastAsia"/>
          <w:kern w:val="0"/>
          <w:sz w:val="36"/>
          <w:szCs w:val="36"/>
        </w:rPr>
        <w:t>年</w:t>
      </w:r>
      <w:r w:rsidRPr="00992C80">
        <w:rPr>
          <w:rFonts w:ascii="方正小标宋_GBK" w:eastAsia="方正小标宋_GBK" w:hAnsi="方正小标宋简体" w:cs="方正小标宋简体" w:hint="eastAsia"/>
          <w:kern w:val="0"/>
          <w:sz w:val="36"/>
          <w:szCs w:val="36"/>
        </w:rPr>
        <w:t>芜湖市</w:t>
      </w:r>
      <w:r w:rsidRPr="00992C80">
        <w:rPr>
          <w:rFonts w:ascii="方正小标宋_GBK" w:eastAsia="方正小标宋_GBK" w:hAnsi="方正小标宋简体" w:cs="方正小标宋简体" w:hint="eastAsia"/>
          <w:kern w:val="0"/>
          <w:sz w:val="36"/>
          <w:szCs w:val="36"/>
        </w:rPr>
        <w:t>湾沚区</w:t>
      </w:r>
      <w:r w:rsidRPr="00992C80">
        <w:rPr>
          <w:rFonts w:ascii="方正小标宋_GBK" w:eastAsia="方正小标宋_GBK" w:hAnsi="方正小标宋简体" w:cs="方正小标宋简体" w:hint="eastAsia"/>
          <w:kern w:val="0"/>
          <w:sz w:val="36"/>
          <w:szCs w:val="36"/>
        </w:rPr>
        <w:t>幼儿园劳务派遣</w:t>
      </w:r>
      <w:r w:rsidRPr="00992C80">
        <w:rPr>
          <w:rFonts w:ascii="方正小标宋_GBK" w:eastAsia="方正小标宋_GBK" w:hAnsi="方正小标宋简体" w:cs="方正小标宋简体" w:hint="eastAsia"/>
          <w:kern w:val="0"/>
          <w:sz w:val="36"/>
          <w:szCs w:val="36"/>
        </w:rPr>
        <w:t>教师招聘岗位情况一览表</w:t>
      </w:r>
    </w:p>
    <w:p w:rsidR="004E7EC9" w:rsidRDefault="004E7EC9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963"/>
        <w:gridCol w:w="871"/>
        <w:gridCol w:w="1382"/>
        <w:gridCol w:w="1583"/>
        <w:gridCol w:w="856"/>
        <w:gridCol w:w="1903"/>
      </w:tblGrid>
      <w:tr w:rsidR="004E7EC9" w:rsidRPr="00992C80" w:rsidTr="00992C80">
        <w:trPr>
          <w:trHeight w:val="107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992C80">
              <w:rPr>
                <w:rFonts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992C80">
              <w:rPr>
                <w:rFonts w:eastAsia="黑体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992C80">
              <w:rPr>
                <w:rFonts w:eastAsia="黑体"/>
                <w:color w:val="000000"/>
                <w:kern w:val="0"/>
                <w:sz w:val="28"/>
                <w:szCs w:val="28"/>
              </w:rPr>
              <w:t>岗位数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E7EC9" w:rsidRPr="00992C80" w:rsidRDefault="00992C80">
            <w:pPr>
              <w:widowControl/>
              <w:spacing w:line="5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992C80">
              <w:rPr>
                <w:rFonts w:eastAsia="黑体"/>
                <w:color w:val="000000"/>
                <w:kern w:val="0"/>
                <w:sz w:val="28"/>
                <w:szCs w:val="28"/>
              </w:rPr>
              <w:t>岗位</w:t>
            </w:r>
          </w:p>
          <w:p w:rsidR="004E7EC9" w:rsidRPr="00992C80" w:rsidRDefault="00992C80">
            <w:pPr>
              <w:widowControl/>
              <w:spacing w:line="5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992C80">
              <w:rPr>
                <w:rFonts w:eastAsia="黑体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1583" w:type="dxa"/>
            <w:vAlign w:val="center"/>
          </w:tcPr>
          <w:p w:rsidR="004E7EC9" w:rsidRPr="00992C80" w:rsidRDefault="00992C80">
            <w:pPr>
              <w:widowControl/>
              <w:spacing w:line="5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992C80">
              <w:rPr>
                <w:rFonts w:eastAsia="黑体"/>
                <w:color w:val="000000"/>
                <w:kern w:val="0"/>
                <w:sz w:val="28"/>
                <w:szCs w:val="28"/>
              </w:rPr>
              <w:t>报考</w:t>
            </w:r>
          </w:p>
          <w:p w:rsidR="004E7EC9" w:rsidRPr="00992C80" w:rsidRDefault="00992C80">
            <w:pPr>
              <w:widowControl/>
              <w:spacing w:line="5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992C80">
              <w:rPr>
                <w:rFonts w:eastAsia="黑体"/>
                <w:color w:val="000000"/>
                <w:kern w:val="0"/>
                <w:sz w:val="28"/>
                <w:szCs w:val="28"/>
              </w:rPr>
              <w:t>条件</w:t>
            </w:r>
          </w:p>
        </w:tc>
        <w:tc>
          <w:tcPr>
            <w:tcW w:w="856" w:type="dxa"/>
            <w:vAlign w:val="center"/>
          </w:tcPr>
          <w:p w:rsidR="004E7EC9" w:rsidRPr="00992C80" w:rsidRDefault="00992C80">
            <w:pPr>
              <w:widowControl/>
              <w:spacing w:line="5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992C80">
              <w:rPr>
                <w:rFonts w:eastAsia="黑体"/>
                <w:color w:val="000000"/>
                <w:kern w:val="0"/>
                <w:sz w:val="28"/>
                <w:szCs w:val="28"/>
              </w:rPr>
              <w:t>考试</w:t>
            </w:r>
          </w:p>
          <w:p w:rsidR="004E7EC9" w:rsidRPr="00992C80" w:rsidRDefault="00992C80">
            <w:pPr>
              <w:widowControl/>
              <w:spacing w:line="5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992C80">
              <w:rPr>
                <w:rFonts w:eastAsia="黑体"/>
                <w:color w:val="000000"/>
                <w:kern w:val="0"/>
                <w:sz w:val="28"/>
                <w:szCs w:val="28"/>
              </w:rPr>
              <w:t>形式</w:t>
            </w:r>
          </w:p>
        </w:tc>
        <w:tc>
          <w:tcPr>
            <w:tcW w:w="1903" w:type="dxa"/>
            <w:vAlign w:val="center"/>
          </w:tcPr>
          <w:p w:rsidR="004E7EC9" w:rsidRPr="00992C80" w:rsidRDefault="00992C80">
            <w:pPr>
              <w:widowControl/>
              <w:spacing w:line="52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992C80">
              <w:rPr>
                <w:rFonts w:eastAsia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E7EC9" w:rsidRPr="00992C80" w:rsidTr="00992C80">
        <w:trPr>
          <w:trHeight w:val="957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kern w:val="0"/>
                <w:sz w:val="24"/>
              </w:rPr>
              <w:t>城关幼儿园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城关计划</w:t>
            </w:r>
          </w:p>
        </w:tc>
        <w:tc>
          <w:tcPr>
            <w:tcW w:w="1583" w:type="dxa"/>
            <w:vMerge w:val="restart"/>
          </w:tcPr>
          <w:p w:rsidR="004E7EC9" w:rsidRPr="00992C80" w:rsidRDefault="00992C80">
            <w:pPr>
              <w:widowControl/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学历：专科及以上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；</w:t>
            </w:r>
          </w:p>
          <w:p w:rsidR="004E7EC9" w:rsidRPr="00992C80" w:rsidRDefault="00992C80">
            <w:pPr>
              <w:widowControl/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年龄：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35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周岁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及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以下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；</w:t>
            </w:r>
          </w:p>
          <w:p w:rsidR="004E7EC9" w:rsidRPr="00992C80" w:rsidRDefault="00992C80">
            <w:pPr>
              <w:widowControl/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资格：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具有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幼儿园教师资格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证或小学教师资格证或初中教师资格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证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或高中教师资格证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；</w:t>
            </w:r>
          </w:p>
          <w:p w:rsidR="004E7EC9" w:rsidRPr="00992C80" w:rsidRDefault="00992C80">
            <w:pPr>
              <w:widowControl/>
              <w:spacing w:line="5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专业：不限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。</w:t>
            </w:r>
          </w:p>
        </w:tc>
        <w:tc>
          <w:tcPr>
            <w:tcW w:w="856" w:type="dxa"/>
            <w:vMerge w:val="restart"/>
          </w:tcPr>
          <w:p w:rsidR="004E7EC9" w:rsidRPr="00992C80" w:rsidRDefault="00992C80">
            <w:pPr>
              <w:widowControl/>
              <w:spacing w:line="5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专业测试</w:t>
            </w:r>
          </w:p>
        </w:tc>
        <w:tc>
          <w:tcPr>
            <w:tcW w:w="1903" w:type="dxa"/>
            <w:vMerge w:val="restart"/>
          </w:tcPr>
          <w:p w:rsidR="004E7EC9" w:rsidRPr="00992C80" w:rsidRDefault="00992C80">
            <w:pPr>
              <w:widowControl/>
              <w:spacing w:line="52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服从分配；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br/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下面情况不再接受报名：已录用为区域内劳务派遣教师；</w:t>
            </w:r>
          </w:p>
          <w:p w:rsidR="004E7EC9" w:rsidRPr="00992C80" w:rsidRDefault="00992C80">
            <w:pPr>
              <w:widowControl/>
              <w:spacing w:line="52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从本区域内公办中小学、幼儿园劳务派遣教师岗位上离职不满一年的人员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；</w:t>
            </w:r>
          </w:p>
          <w:p w:rsidR="004E7EC9" w:rsidRPr="00992C80" w:rsidRDefault="00992C80">
            <w:pPr>
              <w:widowControl/>
              <w:spacing w:line="52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序号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8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区域内公办园是指今年定向招录为专任教师后空出岗位，高分优先选岗。</w:t>
            </w:r>
          </w:p>
        </w:tc>
      </w:tr>
      <w:tr w:rsidR="004E7EC9" w:rsidRPr="00992C80" w:rsidTr="00992C80">
        <w:trPr>
          <w:trHeight w:val="1105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机关</w:t>
            </w:r>
            <w:proofErr w:type="gramStart"/>
            <w:r w:rsidRPr="00992C80">
              <w:rPr>
                <w:rFonts w:eastAsia="仿宋_GB2312"/>
                <w:color w:val="000000"/>
                <w:kern w:val="0"/>
                <w:sz w:val="24"/>
              </w:rPr>
              <w:t>幼儿园总园</w:t>
            </w:r>
            <w:proofErr w:type="gramEnd"/>
          </w:p>
        </w:tc>
        <w:tc>
          <w:tcPr>
            <w:tcW w:w="871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城关计划</w:t>
            </w:r>
          </w:p>
        </w:tc>
        <w:tc>
          <w:tcPr>
            <w:tcW w:w="1583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vMerge/>
          </w:tcPr>
          <w:p w:rsidR="004E7EC9" w:rsidRPr="00992C80" w:rsidRDefault="004E7EC9">
            <w:pPr>
              <w:widowControl/>
              <w:spacing w:line="56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E7EC9" w:rsidRPr="00992C80" w:rsidTr="00992C80">
        <w:trPr>
          <w:trHeight w:val="946"/>
          <w:jc w:val="center"/>
        </w:trPr>
        <w:tc>
          <w:tcPr>
            <w:tcW w:w="643" w:type="dxa"/>
            <w:vMerge/>
            <w:vAlign w:val="center"/>
          </w:tcPr>
          <w:p w:rsidR="004E7EC9" w:rsidRPr="00992C80" w:rsidRDefault="004E7EC9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机关幼儿园分园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城关计划</w:t>
            </w:r>
          </w:p>
        </w:tc>
        <w:tc>
          <w:tcPr>
            <w:tcW w:w="1583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E7EC9" w:rsidRPr="00992C80" w:rsidTr="00992C80">
        <w:trPr>
          <w:trHeight w:val="1092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992C80">
              <w:rPr>
                <w:rFonts w:eastAsia="仿宋_GB2312"/>
                <w:color w:val="000000"/>
                <w:kern w:val="0"/>
                <w:sz w:val="24"/>
              </w:rPr>
              <w:t>碧园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幼儿园</w:t>
            </w:r>
            <w:proofErr w:type="gramEnd"/>
          </w:p>
        </w:tc>
        <w:tc>
          <w:tcPr>
            <w:tcW w:w="871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城关计划</w:t>
            </w:r>
          </w:p>
        </w:tc>
        <w:tc>
          <w:tcPr>
            <w:tcW w:w="1583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E7EC9" w:rsidRPr="00992C80" w:rsidTr="00992C80">
        <w:trPr>
          <w:trHeight w:val="911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新</w:t>
            </w:r>
            <w:proofErr w:type="gramStart"/>
            <w:r w:rsidRPr="00992C80">
              <w:rPr>
                <w:rFonts w:eastAsia="仿宋_GB2312"/>
                <w:color w:val="000000"/>
                <w:kern w:val="0"/>
                <w:sz w:val="24"/>
              </w:rPr>
              <w:t>芜</w:t>
            </w:r>
            <w:proofErr w:type="gramEnd"/>
            <w:r w:rsidRPr="00992C80">
              <w:rPr>
                <w:rFonts w:eastAsia="仿宋_GB2312"/>
                <w:color w:val="000000"/>
                <w:kern w:val="0"/>
                <w:sz w:val="24"/>
              </w:rPr>
              <w:t>幼儿园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城关计划</w:t>
            </w:r>
          </w:p>
        </w:tc>
        <w:tc>
          <w:tcPr>
            <w:tcW w:w="1583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E7EC9" w:rsidRPr="00992C80" w:rsidTr="00992C80">
        <w:trPr>
          <w:trHeight w:val="944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临湖丽城幼儿园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城关计划</w:t>
            </w:r>
          </w:p>
        </w:tc>
        <w:tc>
          <w:tcPr>
            <w:tcW w:w="1583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E7EC9" w:rsidRPr="00992C80" w:rsidTr="00992C80">
        <w:trPr>
          <w:trHeight w:val="944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向上路幼儿园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城关计划</w:t>
            </w:r>
          </w:p>
        </w:tc>
        <w:tc>
          <w:tcPr>
            <w:tcW w:w="1583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E7EC9" w:rsidRPr="00992C80" w:rsidTr="00992C80">
        <w:trPr>
          <w:trHeight w:val="1026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陶行知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幼儿园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城关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计划</w:t>
            </w:r>
          </w:p>
        </w:tc>
        <w:tc>
          <w:tcPr>
            <w:tcW w:w="1583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E7EC9" w:rsidRPr="00992C80" w:rsidTr="00992C80">
        <w:trPr>
          <w:trHeight w:val="101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区域内公办园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待定</w:t>
            </w:r>
          </w:p>
        </w:tc>
        <w:tc>
          <w:tcPr>
            <w:tcW w:w="1583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E7EC9" w:rsidRPr="00992C80" w:rsidTr="00992C80">
        <w:trPr>
          <w:trHeight w:val="884"/>
          <w:jc w:val="center"/>
        </w:trPr>
        <w:tc>
          <w:tcPr>
            <w:tcW w:w="2606" w:type="dxa"/>
            <w:gridSpan w:val="2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合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992C80">
              <w:rPr>
                <w:rFonts w:eastAsia="仿宋_GB2312"/>
                <w:color w:val="000000"/>
                <w:kern w:val="0"/>
                <w:sz w:val="24"/>
              </w:rPr>
              <w:t>计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4E7EC9" w:rsidRPr="00992C80" w:rsidRDefault="00992C80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92C80">
              <w:rPr>
                <w:rFonts w:eastAsia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83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vMerge/>
          </w:tcPr>
          <w:p w:rsidR="004E7EC9" w:rsidRPr="00992C80" w:rsidRDefault="004E7EC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:rsidR="004E7EC9" w:rsidRDefault="004E7EC9">
      <w:pPr>
        <w:spacing w:line="560" w:lineRule="exact"/>
        <w:jc w:val="center"/>
        <w:rPr>
          <w:rFonts w:ascii="仿宋_GB2312" w:eastAsia="仿宋_GB2312" w:hAnsi="方正小标宋简体" w:cs="方正小标宋简体"/>
          <w:kern w:val="0"/>
          <w:sz w:val="24"/>
        </w:rPr>
      </w:pPr>
    </w:p>
    <w:sectPr w:rsidR="004E7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5ODJhZTYyNTgxMTc2ZjM4YjgzNmFmYTMxZGFmOTkifQ=="/>
  </w:docVars>
  <w:rsids>
    <w:rsidRoot w:val="006C28AE"/>
    <w:rsid w:val="00040B1B"/>
    <w:rsid w:val="00085C87"/>
    <w:rsid w:val="000D2373"/>
    <w:rsid w:val="000D42FB"/>
    <w:rsid w:val="000E21F1"/>
    <w:rsid w:val="004B1DDB"/>
    <w:rsid w:val="004E7EC9"/>
    <w:rsid w:val="005F0B00"/>
    <w:rsid w:val="00615BE4"/>
    <w:rsid w:val="006504D8"/>
    <w:rsid w:val="006C28AE"/>
    <w:rsid w:val="007C7D5D"/>
    <w:rsid w:val="00992C80"/>
    <w:rsid w:val="00AD4174"/>
    <w:rsid w:val="00D3480D"/>
    <w:rsid w:val="00E3162E"/>
    <w:rsid w:val="00E8343D"/>
    <w:rsid w:val="00EB36D8"/>
    <w:rsid w:val="00F56DBE"/>
    <w:rsid w:val="00FA4F27"/>
    <w:rsid w:val="00FD671E"/>
    <w:rsid w:val="024C19D0"/>
    <w:rsid w:val="030E4418"/>
    <w:rsid w:val="0D2158BD"/>
    <w:rsid w:val="20D71E05"/>
    <w:rsid w:val="2CD86C3B"/>
    <w:rsid w:val="2DDB4C35"/>
    <w:rsid w:val="2F787640"/>
    <w:rsid w:val="379506F0"/>
    <w:rsid w:val="39E56A69"/>
    <w:rsid w:val="48C12C5D"/>
    <w:rsid w:val="580406DB"/>
    <w:rsid w:val="5873313F"/>
    <w:rsid w:val="5D8F74AA"/>
    <w:rsid w:val="5F337B7D"/>
    <w:rsid w:val="5F6B4F67"/>
    <w:rsid w:val="6B495AB6"/>
    <w:rsid w:val="6C1E51E3"/>
    <w:rsid w:val="6CE93F71"/>
    <w:rsid w:val="709F46EF"/>
    <w:rsid w:val="73770138"/>
    <w:rsid w:val="753D4E5A"/>
    <w:rsid w:val="7ABB519F"/>
    <w:rsid w:val="7BA91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z</dc:creator>
  <cp:lastModifiedBy>丁伯秀</cp:lastModifiedBy>
  <cp:revision>11</cp:revision>
  <dcterms:created xsi:type="dcterms:W3CDTF">2022-08-19T12:22:00Z</dcterms:created>
  <dcterms:modified xsi:type="dcterms:W3CDTF">2023-07-26T08:09:00Z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994F1389D9E849A2A8ADCDB478E04017</vt:lpwstr>
  </property>
</Properties>
</file>